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F7" w:rsidRDefault="002B24F7" w:rsidP="003524A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  <w:r w:rsidRPr="002B24F7">
        <w:rPr>
          <w:b/>
          <w:sz w:val="28"/>
          <w:szCs w:val="28"/>
          <w:lang w:val="kk-KZ"/>
        </w:rPr>
        <w:t>2021 жылғы мемлекеттік қызметтер бойынша есеп.</w:t>
      </w:r>
    </w:p>
    <w:p w:rsidR="003524AC" w:rsidRDefault="003524AC" w:rsidP="003524A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</w:p>
    <w:p w:rsidR="006D7CEB" w:rsidRPr="002B24F7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2B24F7">
        <w:rPr>
          <w:b/>
          <w:color w:val="000000"/>
          <w:sz w:val="28"/>
          <w:szCs w:val="28"/>
          <w:lang w:val="kk-KZ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2B24F7">
        <w:rPr>
          <w:b/>
          <w:color w:val="000000"/>
          <w:sz w:val="28"/>
          <w:szCs w:val="28"/>
          <w:lang w:val="kk-KZ"/>
        </w:rPr>
        <w:t>Жалпы ереже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</w:t>
      </w:r>
      <w:r w:rsidR="002B24F7" w:rsidRPr="002B24F7">
        <w:rPr>
          <w:lang w:val="kk-KZ"/>
        </w:rPr>
        <w:t xml:space="preserve"> </w:t>
      </w:r>
      <w:r w:rsidR="002B24F7" w:rsidRPr="002B24F7">
        <w:rPr>
          <w:color w:val="000000"/>
          <w:sz w:val="28"/>
          <w:szCs w:val="28"/>
          <w:lang w:val="kk-KZ"/>
        </w:rPr>
        <w:t>Қызмет к</w:t>
      </w:r>
      <w:r w:rsidR="003524AC">
        <w:rPr>
          <w:color w:val="000000"/>
          <w:sz w:val="28"/>
          <w:szCs w:val="28"/>
          <w:lang w:val="kk-KZ"/>
        </w:rPr>
        <w:t>өрсетушілер туралы мәліметтер: «</w:t>
      </w:r>
      <w:r w:rsidR="002B24F7" w:rsidRPr="002B24F7">
        <w:rPr>
          <w:color w:val="000000"/>
          <w:sz w:val="28"/>
          <w:szCs w:val="28"/>
          <w:lang w:val="kk-KZ"/>
        </w:rPr>
        <w:t>Ақмола облысы Білім басқармасының Сандықтау ауданы бойынша білім бөлімінің Красная поляна ауылы</w:t>
      </w:r>
      <w:r w:rsidR="003524AC">
        <w:rPr>
          <w:color w:val="000000"/>
          <w:sz w:val="28"/>
          <w:szCs w:val="28"/>
          <w:lang w:val="kk-KZ"/>
        </w:rPr>
        <w:t>ның жалпы білім беретін мектебі»</w:t>
      </w:r>
      <w:r w:rsidR="002B24F7">
        <w:rPr>
          <w:color w:val="000000"/>
          <w:sz w:val="28"/>
          <w:szCs w:val="28"/>
          <w:lang w:val="kk-KZ"/>
        </w:rPr>
        <w:t xml:space="preserve"> </w:t>
      </w:r>
      <w:r w:rsidR="002B24F7" w:rsidRPr="002B24F7">
        <w:rPr>
          <w:color w:val="000000"/>
          <w:sz w:val="28"/>
          <w:szCs w:val="28"/>
          <w:lang w:val="kk-KZ"/>
        </w:rPr>
        <w:t>КММ</w:t>
      </w:r>
      <w:r w:rsidR="002B24F7">
        <w:rPr>
          <w:color w:val="000000"/>
          <w:sz w:val="28"/>
          <w:szCs w:val="28"/>
          <w:lang w:val="kk-KZ"/>
        </w:rPr>
        <w:t xml:space="preserve"> </w:t>
      </w:r>
      <w:r w:rsidR="002B24F7" w:rsidRPr="002B24F7">
        <w:rPr>
          <w:color w:val="000000"/>
          <w:sz w:val="28"/>
          <w:szCs w:val="28"/>
          <w:lang w:val="kk-KZ"/>
        </w:rPr>
        <w:t>. Заңды мекенжайы Красная поляна ауылы, Абай көшесі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 xml:space="preserve">2) </w:t>
      </w:r>
      <w:r w:rsidR="002B24F7" w:rsidRPr="002B24F7">
        <w:rPr>
          <w:i/>
          <w:sz w:val="28"/>
          <w:szCs w:val="28"/>
          <w:lang w:val="kk-KZ"/>
        </w:rPr>
        <w:t>Мемлекеттік көрсетілетін қызметтер туралы ақпарат</w:t>
      </w:r>
      <w:r w:rsidR="001F2FAB" w:rsidRPr="00400A29">
        <w:rPr>
          <w:i/>
          <w:sz w:val="28"/>
          <w:szCs w:val="28"/>
          <w:lang w:val="kk-KZ"/>
        </w:rPr>
        <w:t>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="002B24F7" w:rsidRPr="002B24F7">
        <w:rPr>
          <w:sz w:val="28"/>
          <w:szCs w:val="28"/>
          <w:lang w:val="kk-KZ"/>
        </w:rPr>
        <w:t>"Ақмола облысы Білім басқармасының Сандықтау ауданы бойынша білім бөлімінің Красная поляна ауылының жалпы білім беретін мектебі" КММ-де білім беру саласында 5 Мемлекеттік қызмет көрсетіледі</w:t>
      </w:r>
      <w:r w:rsidR="002B24F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2B24F7" w:rsidRPr="002B24F7">
        <w:rPr>
          <w:sz w:val="28"/>
          <w:szCs w:val="28"/>
          <w:lang w:val="kk-KZ"/>
        </w:rPr>
        <w:t>2021 жылы 63 қызмет көрсетілді;</w:t>
      </w:r>
    </w:p>
    <w:p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2B24F7">
        <w:rPr>
          <w:sz w:val="28"/>
          <w:szCs w:val="28"/>
          <w:lang w:val="kk-KZ"/>
        </w:rPr>
        <w:t>«Азаматтарға арналған үкімет» мемлекеттік корпо</w:t>
      </w:r>
      <w:r w:rsidR="00320B3B">
        <w:rPr>
          <w:sz w:val="28"/>
          <w:szCs w:val="28"/>
          <w:lang w:val="kk-KZ"/>
        </w:rPr>
        <w:t xml:space="preserve">рациясы  арқылы  көрсетілетін 0 </w:t>
      </w:r>
      <w:r w:rsidR="002B24F7">
        <w:rPr>
          <w:sz w:val="28"/>
          <w:szCs w:val="28"/>
          <w:lang w:val="kk-KZ"/>
        </w:rPr>
        <w:t>-қызмет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2B24F7">
        <w:rPr>
          <w:sz w:val="28"/>
          <w:szCs w:val="28"/>
          <w:lang w:val="kk-KZ"/>
        </w:rPr>
        <w:t>Электрондық нысанда мемлекеттік қызмет 53 қызмет көрсетілді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2B24F7">
        <w:rPr>
          <w:sz w:val="28"/>
          <w:szCs w:val="28"/>
          <w:lang w:val="kk-KZ"/>
        </w:rPr>
        <w:t>Қағаз түрінде көрсетілген мемлекеттік қызмет 9 қызмет</w:t>
      </w:r>
      <w:r w:rsidRPr="008A03D2">
        <w:rPr>
          <w:sz w:val="28"/>
          <w:szCs w:val="28"/>
          <w:lang w:val="kk-KZ"/>
        </w:rPr>
        <w:t>.</w:t>
      </w:r>
    </w:p>
    <w:p w:rsidR="00ED5AA3" w:rsidRPr="008A03D2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2B24F7">
        <w:rPr>
          <w:sz w:val="28"/>
          <w:szCs w:val="28"/>
          <w:lang w:val="kk-KZ"/>
        </w:rPr>
        <w:t>Білім саласындағы барлық мемлекеттік қызметтер тегін көрсетіледі</w:t>
      </w:r>
      <w:r w:rsidRPr="008A03D2">
        <w:rPr>
          <w:sz w:val="28"/>
          <w:szCs w:val="28"/>
          <w:lang w:val="kk-KZ"/>
        </w:rPr>
        <w:t xml:space="preserve">. 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2B24F7">
        <w:rPr>
          <w:sz w:val="28"/>
          <w:szCs w:val="28"/>
          <w:lang w:val="kk-KZ"/>
        </w:rPr>
        <w:t>«Ақмола облысы білім басқармасының Сандықтау ауданы бойынша білім бөлімінің Красная поляна ауылының жалпы орта мектебі» КММ 2020 жылы 51 қызмет түрін көрсетті</w:t>
      </w:r>
      <w:r w:rsidR="008A03D2"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0E6885">
        <w:rPr>
          <w:sz w:val="28"/>
          <w:szCs w:val="28"/>
          <w:lang w:val="kk-KZ"/>
        </w:rPr>
        <w:t>«Азаматтарға арналған үкімет» мемлекеттік кор</w:t>
      </w:r>
      <w:r w:rsidR="00320B3B">
        <w:rPr>
          <w:sz w:val="28"/>
          <w:szCs w:val="28"/>
          <w:lang w:val="kk-KZ"/>
        </w:rPr>
        <w:t>порациясы арқылы көрсетілген -0</w:t>
      </w:r>
      <w:r w:rsidR="000E6885">
        <w:rPr>
          <w:sz w:val="28"/>
          <w:szCs w:val="28"/>
          <w:lang w:val="kk-KZ"/>
        </w:rPr>
        <w:t xml:space="preserve"> қызмет</w:t>
      </w:r>
      <w:r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 </w:t>
      </w:r>
      <w:r w:rsidR="000E6885">
        <w:rPr>
          <w:sz w:val="28"/>
          <w:szCs w:val="28"/>
          <w:lang w:val="kk-KZ"/>
        </w:rPr>
        <w:t>электрондық нысанда мемлекеттік қызмет 49 қызмет көрсетілді</w:t>
      </w:r>
      <w:r w:rsidRPr="008A03D2">
        <w:rPr>
          <w:sz w:val="28"/>
          <w:szCs w:val="28"/>
          <w:lang w:val="kk-KZ"/>
        </w:rPr>
        <w:t>;</w:t>
      </w:r>
    </w:p>
    <w:p w:rsidR="002531E9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0E6885">
        <w:rPr>
          <w:sz w:val="28"/>
          <w:szCs w:val="28"/>
          <w:lang w:val="kk-KZ"/>
        </w:rPr>
        <w:t>қағаз түрінде көрсетілген мемлекеттік қызметтер – 2 қызмет.</w:t>
      </w:r>
    </w:p>
    <w:p w:rsidR="00B13027" w:rsidRPr="000E6885" w:rsidRDefault="00B13027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0E6885">
        <w:rPr>
          <w:i/>
          <w:sz w:val="28"/>
          <w:szCs w:val="28"/>
          <w:lang w:val="kk-KZ"/>
        </w:rPr>
        <w:t>Ең сұранысқа ие мемлекеттік қызметтер туралы ақпарат</w:t>
      </w:r>
      <w:r w:rsidR="00ED5AA3" w:rsidRPr="00DA5948">
        <w:rPr>
          <w:i/>
          <w:sz w:val="28"/>
          <w:szCs w:val="28"/>
          <w:lang w:val="kk-KZ"/>
        </w:rPr>
        <w:t>:</w:t>
      </w:r>
      <w:r w:rsidR="000E6885">
        <w:rPr>
          <w:i/>
          <w:sz w:val="28"/>
          <w:szCs w:val="28"/>
          <w:lang w:val="kk-KZ"/>
        </w:rPr>
        <w:t xml:space="preserve"> </w:t>
      </w:r>
      <w:r w:rsidR="000E6885">
        <w:rPr>
          <w:sz w:val="28"/>
          <w:szCs w:val="28"/>
          <w:lang w:val="kk-KZ"/>
        </w:rPr>
        <w:t>білім беру саласындағы ең сұранысқа ие мемлекеттік қызметтер</w:t>
      </w:r>
      <w:r w:rsidR="00166C64">
        <w:rPr>
          <w:sz w:val="28"/>
          <w:szCs w:val="28"/>
          <w:lang w:val="kk-KZ"/>
        </w:rPr>
        <w:t>:</w:t>
      </w:r>
    </w:p>
    <w:p w:rsidR="00166C64" w:rsidRPr="00A9284B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A9284B">
        <w:rPr>
          <w:i/>
          <w:sz w:val="28"/>
          <w:szCs w:val="28"/>
          <w:lang w:val="kk-KZ"/>
        </w:rPr>
        <w:t>«</w:t>
      </w:r>
      <w:r w:rsidR="000E6885">
        <w:rPr>
          <w:i/>
          <w:color w:val="000000"/>
          <w:sz w:val="28"/>
          <w:szCs w:val="28"/>
          <w:lang w:val="kk-KZ"/>
        </w:rPr>
        <w:t>Құжаттарды қабылдау және балаларды мектепке дейінгі білім беру ұйымдарына қабылдау</w:t>
      </w:r>
      <w:r w:rsidR="008E20E5" w:rsidRPr="00A9284B">
        <w:rPr>
          <w:i/>
          <w:color w:val="000000"/>
          <w:sz w:val="28"/>
          <w:szCs w:val="28"/>
          <w:lang w:val="kk-KZ"/>
        </w:rPr>
        <w:t>»</w:t>
      </w:r>
      <w:r w:rsidR="00166C64" w:rsidRPr="00A9284B">
        <w:rPr>
          <w:i/>
          <w:color w:val="000000"/>
          <w:sz w:val="28"/>
          <w:szCs w:val="28"/>
          <w:lang w:val="kk-KZ"/>
        </w:rPr>
        <w:t>;</w:t>
      </w:r>
    </w:p>
    <w:p w:rsidR="007C5324" w:rsidRPr="00A9284B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A9284B">
        <w:rPr>
          <w:i/>
          <w:color w:val="000000"/>
          <w:sz w:val="28"/>
          <w:szCs w:val="28"/>
          <w:lang w:val="kk-KZ"/>
        </w:rPr>
        <w:tab/>
      </w:r>
      <w:r w:rsidRPr="00A9284B">
        <w:rPr>
          <w:i/>
          <w:sz w:val="28"/>
          <w:szCs w:val="28"/>
          <w:lang w:val="kk-KZ"/>
        </w:rPr>
        <w:t>«</w:t>
      </w:r>
      <w:r w:rsidR="000E6885">
        <w:rPr>
          <w:i/>
          <w:color w:val="000000"/>
          <w:sz w:val="28"/>
          <w:szCs w:val="28"/>
          <w:lang w:val="kk-KZ"/>
        </w:rPr>
        <w:t>Бастауыш, негізгі орта, жалпы орта білім берудің жалпы білім беретін оқу бағдарламалары бойынша оқыту үшін ведомостволық бағыныстылығына қарамастан білім беру ұйымдарына құжаттарды қабылдау және оқуға қабылдау</w:t>
      </w:r>
      <w:r w:rsidR="00166C64" w:rsidRPr="00A9284B">
        <w:rPr>
          <w:i/>
          <w:color w:val="000000"/>
          <w:sz w:val="28"/>
          <w:szCs w:val="28"/>
          <w:lang w:val="kk-KZ"/>
        </w:rPr>
        <w:t>»;</w:t>
      </w:r>
    </w:p>
    <w:p w:rsidR="008D6FB2" w:rsidRPr="00A9284B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A9284B">
        <w:rPr>
          <w:i/>
          <w:color w:val="000000"/>
          <w:sz w:val="28"/>
          <w:szCs w:val="28"/>
          <w:lang w:val="kk-KZ"/>
        </w:rPr>
        <w:tab/>
      </w:r>
      <w:r w:rsidRPr="00A9284B">
        <w:rPr>
          <w:i/>
          <w:sz w:val="28"/>
          <w:szCs w:val="28"/>
          <w:lang w:val="kk-KZ"/>
        </w:rPr>
        <w:t>«</w:t>
      </w:r>
      <w:r w:rsidR="000E6885">
        <w:rPr>
          <w:i/>
          <w:color w:val="000000"/>
          <w:sz w:val="28"/>
          <w:szCs w:val="28"/>
          <w:lang w:val="kk-KZ"/>
        </w:rPr>
        <w:t xml:space="preserve">Денсаулығы  бойынша ұзақ уақыт </w:t>
      </w:r>
      <w:r w:rsidR="003524AC">
        <w:rPr>
          <w:i/>
          <w:color w:val="000000"/>
          <w:sz w:val="28"/>
          <w:szCs w:val="28"/>
          <w:lang w:val="kk-KZ"/>
        </w:rPr>
        <w:t>бойы бастауыш , негізгі орта , жалпы орта білім беру ұйымдарына бара алмайтын балаларға үйде жеке тегін оқытуды ұйымдастыруға құжаттарды қабылдау</w:t>
      </w:r>
      <w:r w:rsidR="00166C64" w:rsidRPr="00A9284B">
        <w:rPr>
          <w:i/>
          <w:color w:val="000000"/>
          <w:sz w:val="28"/>
          <w:szCs w:val="28"/>
          <w:lang w:val="kk-KZ"/>
        </w:rPr>
        <w:t>»;</w:t>
      </w:r>
    </w:p>
    <w:p w:rsidR="00D542EA" w:rsidRPr="00A9284B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A9284B">
        <w:rPr>
          <w:i/>
          <w:color w:val="000000"/>
          <w:sz w:val="28"/>
          <w:szCs w:val="28"/>
          <w:lang w:val="kk-KZ"/>
        </w:rPr>
        <w:tab/>
      </w:r>
      <w:r w:rsidRPr="00A9284B">
        <w:rPr>
          <w:i/>
          <w:sz w:val="28"/>
          <w:szCs w:val="28"/>
          <w:lang w:val="kk-KZ"/>
        </w:rPr>
        <w:t>«</w:t>
      </w:r>
      <w:r w:rsidR="003524AC">
        <w:rPr>
          <w:i/>
          <w:color w:val="000000"/>
          <w:sz w:val="28"/>
          <w:szCs w:val="28"/>
          <w:lang w:val="kk-KZ"/>
        </w:rPr>
        <w:t>Негізгі орта, жалпы орта білім туралы құжаттардың телнұсқаларын беру</w:t>
      </w:r>
      <w:r w:rsidRPr="00A9284B">
        <w:rPr>
          <w:i/>
          <w:color w:val="000000"/>
          <w:sz w:val="28"/>
          <w:szCs w:val="28"/>
          <w:lang w:val="kk-KZ"/>
        </w:rPr>
        <w:t>»</w:t>
      </w:r>
      <w:r w:rsidR="00166C64" w:rsidRPr="00A9284B">
        <w:rPr>
          <w:i/>
          <w:color w:val="000000"/>
          <w:sz w:val="28"/>
          <w:szCs w:val="28"/>
          <w:lang w:val="kk-KZ"/>
        </w:rPr>
        <w:t>.</w:t>
      </w:r>
    </w:p>
    <w:p w:rsidR="00A9284B" w:rsidRPr="00166C64" w:rsidRDefault="00A9284B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A9284B">
        <w:rPr>
          <w:i/>
          <w:sz w:val="28"/>
          <w:szCs w:val="28"/>
          <w:lang w:val="kk-KZ"/>
        </w:rPr>
        <w:t xml:space="preserve">          «</w:t>
      </w:r>
      <w:r w:rsidR="003524AC" w:rsidRPr="003524AC">
        <w:rPr>
          <w:i/>
          <w:color w:val="000000"/>
          <w:sz w:val="28"/>
          <w:szCs w:val="28"/>
          <w:lang w:val="kk-KZ"/>
        </w:rPr>
        <w:t>Балаларды жалпы білім беретін оқу орындары арасында ауыстыру үшін құжаттар қабылдау</w:t>
      </w:r>
      <w:r w:rsidRPr="00A9284B">
        <w:rPr>
          <w:i/>
          <w:color w:val="000000"/>
          <w:sz w:val="28"/>
          <w:szCs w:val="28"/>
          <w:lang w:val="kk-KZ"/>
        </w:rPr>
        <w:t>».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3524AC" w:rsidRPr="003524AC">
        <w:rPr>
          <w:lang w:val="kk-KZ"/>
        </w:rPr>
        <w:t xml:space="preserve"> </w:t>
      </w:r>
      <w:r w:rsidR="003524AC" w:rsidRPr="003524AC">
        <w:rPr>
          <w:b/>
          <w:color w:val="000000" w:themeColor="text1"/>
          <w:sz w:val="28"/>
          <w:szCs w:val="28"/>
          <w:lang w:val="kk-KZ"/>
        </w:rPr>
        <w:t>Қызмет алушылармен жұмыс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: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1) </w:t>
      </w:r>
      <w:r w:rsidR="003524AC" w:rsidRPr="003524AC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 туралы ақпаратқа қол жеткізу көздері мен орындары туралы мәліметтер</w:t>
      </w:r>
      <w:r w:rsidRPr="000F33F8">
        <w:rPr>
          <w:i/>
          <w:color w:val="000000" w:themeColor="text1"/>
          <w:sz w:val="28"/>
          <w:szCs w:val="28"/>
          <w:lang w:val="kk-KZ"/>
        </w:rPr>
        <w:t>.</w:t>
      </w:r>
    </w:p>
    <w:p w:rsidR="003524AC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3524AC" w:rsidRPr="003524AC">
        <w:rPr>
          <w:color w:val="000000" w:themeColor="text1"/>
          <w:sz w:val="28"/>
          <w:szCs w:val="28"/>
          <w:lang w:val="kk-KZ"/>
        </w:rPr>
        <w:t xml:space="preserve">Көрсетілетін қызметті алушылар үшін барлық қажетті ақпарат ресми интернет-ресурста орналастырылған </w:t>
      </w:r>
      <w:hyperlink r:id="rId8" w:history="1">
        <w:r w:rsidR="003524AC" w:rsidRPr="00CF7A30">
          <w:rPr>
            <w:rStyle w:val="aa"/>
            <w:sz w:val="28"/>
            <w:szCs w:val="28"/>
            <w:lang w:val="kk-KZ"/>
          </w:rPr>
          <w:t>http://sc0006.sandyktau.aqmoedu.kz/</w:t>
        </w:r>
      </w:hyperlink>
      <w:r w:rsidR="003524AC">
        <w:rPr>
          <w:color w:val="000000" w:themeColor="text1"/>
          <w:sz w:val="28"/>
          <w:szCs w:val="28"/>
          <w:lang w:val="kk-KZ"/>
        </w:rPr>
        <w:t xml:space="preserve"> </w:t>
      </w:r>
      <w:r w:rsidR="003524AC" w:rsidRPr="003524AC">
        <w:rPr>
          <w:color w:val="000000" w:themeColor="text1"/>
          <w:sz w:val="28"/>
          <w:szCs w:val="28"/>
          <w:lang w:val="kk-KZ"/>
        </w:rPr>
        <w:t xml:space="preserve">в </w:t>
      </w:r>
      <w:r w:rsidR="003524AC" w:rsidRPr="003524AC">
        <w:rPr>
          <w:color w:val="000000" w:themeColor="text1"/>
          <w:sz w:val="28"/>
          <w:szCs w:val="28"/>
          <w:lang w:val="kk-KZ"/>
        </w:rPr>
        <w:lastRenderedPageBreak/>
        <w:t>"мемлекеттік көрсетілетін қызметтер" бөлімінде мемлекеттік қызметтер көрсету стандарттары мен қағидалары орналастырылған. Сондай-ақ ақпараттық стендтерде мемлекеттік көрсетілетін қызметтердің стандарттары мен ережелері орналастырылған. Өзіне-өзі қызмет көрсету бұрыштары жұмыс істейді.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="003524AC" w:rsidRPr="003524AC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тәртібін айқындайтын заңға тәуелді нормативтік құқықтық актілердің жобаларын жария талқылау туралы ақпарат</w:t>
      </w:r>
      <w:r w:rsidRPr="000F33F8">
        <w:rPr>
          <w:i/>
          <w:color w:val="000000" w:themeColor="text1"/>
          <w:sz w:val="28"/>
          <w:szCs w:val="28"/>
          <w:lang w:val="kk-KZ"/>
        </w:rPr>
        <w:t>.</w:t>
      </w:r>
    </w:p>
    <w:p w:rsidR="00EF32C1" w:rsidRPr="00DF241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3524AC" w:rsidRPr="003524AC">
        <w:rPr>
          <w:color w:val="000000" w:themeColor="text1"/>
          <w:sz w:val="28"/>
          <w:szCs w:val="28"/>
          <w:lang w:val="kk-KZ"/>
        </w:rPr>
        <w:t>Қазіргі уақытта заңға тәуелді және құқықтық актілердің жобаларын жария талқылау ашық нормативтік құқықтық актілердің интернет порталында жүзеге асырылады. Білім бөлімі жә</w:t>
      </w:r>
      <w:r w:rsidR="003524AC">
        <w:rPr>
          <w:color w:val="000000" w:themeColor="text1"/>
          <w:sz w:val="28"/>
          <w:szCs w:val="28"/>
          <w:lang w:val="kk-KZ"/>
        </w:rPr>
        <w:t>не ведомствоға қарасты ұйымдар н</w:t>
      </w:r>
      <w:r w:rsidR="003524AC" w:rsidRPr="003524AC">
        <w:rPr>
          <w:color w:val="000000" w:themeColor="text1"/>
          <w:sz w:val="28"/>
          <w:szCs w:val="28"/>
          <w:lang w:val="kk-KZ"/>
        </w:rPr>
        <w:t>ормат</w:t>
      </w:r>
      <w:r w:rsidR="003524AC">
        <w:rPr>
          <w:color w:val="000000" w:themeColor="text1"/>
          <w:sz w:val="28"/>
          <w:szCs w:val="28"/>
          <w:lang w:val="kk-KZ"/>
        </w:rPr>
        <w:t>ивтік-құқықтық актілерді әзірленб</w:t>
      </w:r>
      <w:r w:rsidR="003524AC" w:rsidRPr="003524AC">
        <w:rPr>
          <w:color w:val="000000" w:themeColor="text1"/>
          <w:sz w:val="28"/>
          <w:szCs w:val="28"/>
          <w:lang w:val="kk-KZ"/>
        </w:rPr>
        <w:t>еген</w:t>
      </w:r>
      <w:r w:rsidR="00C65816" w:rsidRPr="00DF2418">
        <w:rPr>
          <w:color w:val="000000" w:themeColor="text1"/>
          <w:sz w:val="28"/>
          <w:szCs w:val="28"/>
          <w:lang w:val="kk-KZ"/>
        </w:rPr>
        <w:t xml:space="preserve">. </w:t>
      </w:r>
      <w:bookmarkStart w:id="0" w:name="_GoBack"/>
      <w:bookmarkEnd w:id="0"/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DF2418">
        <w:rPr>
          <w:i/>
          <w:color w:val="000000" w:themeColor="text1"/>
          <w:sz w:val="28"/>
          <w:szCs w:val="28"/>
          <w:lang w:val="kk-KZ"/>
        </w:rPr>
        <w:tab/>
        <w:t>3)</w:t>
      </w:r>
      <w:r w:rsidR="003524AC" w:rsidRPr="003524AC">
        <w:rPr>
          <w:lang w:val="kk-KZ"/>
        </w:rPr>
        <w:t xml:space="preserve"> </w:t>
      </w:r>
      <w:r w:rsidR="003524AC" w:rsidRPr="003524AC">
        <w:rPr>
          <w:i/>
          <w:color w:val="000000" w:themeColor="text1"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3524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 жылы «</w:t>
      </w:r>
      <w:r w:rsidR="003524AC" w:rsidRPr="003524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Ақмола облысы Білім басқармасының Сандықтау ауданы бойынша білім бөлімінің Красная поляна ауылы</w:t>
      </w:r>
      <w:r w:rsidR="003524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ның жалпы білім беретін мектебі» </w:t>
      </w:r>
      <w:r w:rsidR="003524AC" w:rsidRPr="003524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КММ БАҚ және әлеуметтік желілерде аудандық "Сандықтау өлкесі"газетіне 1 мақала жарияланды,1 Тікелей эфир өткізілді.Ай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524AC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3524AC" w:rsidRPr="003524AC">
        <w:rPr>
          <w:b/>
          <w:sz w:val="28"/>
          <w:szCs w:val="28"/>
          <w:lang w:val="kk-KZ"/>
        </w:rPr>
        <w:t>Мемлекеттік қызметтер көрсету процестерін жетілдіру жөніндегі қызмет.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="003524AC" w:rsidRPr="003524AC">
        <w:rPr>
          <w:i/>
          <w:sz w:val="28"/>
          <w:szCs w:val="28"/>
          <w:lang w:val="kk-KZ"/>
        </w:rPr>
        <w:t>Мемлекеттік қызметтер көрсету процестерін оңтайландыру және автоматтандыру нәтижелері</w:t>
      </w:r>
      <w:r w:rsidR="003524AC">
        <w:rPr>
          <w:i/>
          <w:sz w:val="28"/>
          <w:szCs w:val="28"/>
          <w:lang w:val="kk-KZ"/>
        </w:rPr>
        <w:t xml:space="preserve"> </w:t>
      </w:r>
      <w:r w:rsidRPr="000F33F8">
        <w:rPr>
          <w:i/>
          <w:sz w:val="28"/>
          <w:szCs w:val="28"/>
          <w:lang w:val="kk-KZ"/>
        </w:rPr>
        <w:t>.</w:t>
      </w:r>
    </w:p>
    <w:p w:rsidR="003524AC" w:rsidRDefault="000F33F8" w:rsidP="003524AC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3524AC" w:rsidRPr="003524AC">
        <w:rPr>
          <w:rFonts w:eastAsia="Calibri"/>
          <w:sz w:val="28"/>
          <w:szCs w:val="28"/>
          <w:lang w:val="kk-KZ" w:eastAsia="en-US"/>
        </w:rPr>
        <w:t>Сыбайлас жемқорлық тәуекелдерін төмендету және Мемлекеттік қызмет көрсету сапасын арттыру мақсатында мектеп бірыңғай ақпараттық жүйеде жұмыс істейді Akmola.kz. жүйеде 4 автоматтандырылған мемлекеттік қызмет іске асырылуда.</w:t>
      </w:r>
    </w:p>
    <w:p w:rsidR="003524AC" w:rsidRDefault="003524A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Andale Sans UI"/>
          <w:kern w:val="2"/>
          <w:sz w:val="28"/>
          <w:szCs w:val="28"/>
          <w:lang w:val="kk-KZ" w:eastAsia="ar-SA"/>
        </w:rPr>
      </w:pPr>
      <w:r>
        <w:rPr>
          <w:rFonts w:eastAsia="Andale Sans UI"/>
          <w:kern w:val="2"/>
          <w:sz w:val="28"/>
          <w:szCs w:val="28"/>
          <w:lang w:val="kk-KZ" w:eastAsia="ar-SA"/>
        </w:rPr>
        <w:t>Сондай-ақ, 2020 жылдан бастап «</w:t>
      </w:r>
      <w:r w:rsidRPr="003524AC">
        <w:rPr>
          <w:rFonts w:eastAsia="Andale Sans UI"/>
          <w:kern w:val="2"/>
          <w:sz w:val="28"/>
          <w:szCs w:val="28"/>
          <w:lang w:val="kk-KZ" w:eastAsia="ar-SA"/>
        </w:rPr>
        <w:t>Ақмола облысы Білім басқармасының Сандықтау ауданы бойынша білім бөлімінің Красная поляна ауылы</w:t>
      </w:r>
      <w:r>
        <w:rPr>
          <w:rFonts w:eastAsia="Andale Sans UI"/>
          <w:kern w:val="2"/>
          <w:sz w:val="28"/>
          <w:szCs w:val="28"/>
          <w:lang w:val="kk-KZ" w:eastAsia="ar-SA"/>
        </w:rPr>
        <w:t xml:space="preserve">ның жалпы білім беретін мектебі» </w:t>
      </w:r>
      <w:r w:rsidRPr="003524AC">
        <w:rPr>
          <w:rFonts w:eastAsia="Andale Sans UI"/>
          <w:kern w:val="2"/>
          <w:sz w:val="28"/>
          <w:szCs w:val="28"/>
          <w:lang w:val="kk-KZ" w:eastAsia="ar-SA"/>
        </w:rPr>
        <w:t>КММ-де 20 мемлекеттік қызметке қол жетімді ҚР БҒМ ММ АЖО Қазақстан Республикасы Білім және ғылым министрлігінің жүйесі жұмыс істейді.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3524AC" w:rsidRPr="003524AC">
        <w:rPr>
          <w:i/>
          <w:sz w:val="28"/>
          <w:szCs w:val="28"/>
          <w:lang w:val="kk-KZ"/>
        </w:rPr>
        <w:t>Мемлекеттік қызметтер көрсету саласындағы қызметкерлердің біліктілігін арттыруға бағытталған іс-шаралар</w:t>
      </w:r>
      <w:r w:rsidR="00C77EE8" w:rsidRPr="00E457BC">
        <w:rPr>
          <w:i/>
          <w:sz w:val="28"/>
          <w:szCs w:val="28"/>
          <w:lang w:val="kk-KZ"/>
        </w:rPr>
        <w:t xml:space="preserve">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3524AC" w:rsidRPr="003524AC">
        <w:rPr>
          <w:sz w:val="28"/>
          <w:szCs w:val="28"/>
          <w:lang w:val="kk-KZ"/>
        </w:rPr>
        <w:t>Білім беру саласында мемлекеттік қызметтерді 1 қызметкер көрсетеді, ол қажетті компьютерлік техникамен қамтамасыз етілген</w:t>
      </w:r>
      <w:r w:rsidR="00B51DB5" w:rsidRPr="00A1314C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 w:rsidRPr="003524A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3524AC" w:rsidRPr="003524AC">
        <w:rPr>
          <w:lang w:val="kk-KZ"/>
        </w:rPr>
        <w:t xml:space="preserve"> </w:t>
      </w:r>
      <w:r w:rsidR="003524AC" w:rsidRPr="003524A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Мемлекеттік қызмет көрсету сапасын бақылау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3524A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3524A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524AC" w:rsidRPr="003524A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мәселелері бойынша көрсетілетін қызметті алушылардың шағымдары туралы ақпарат</w:t>
      </w:r>
      <w:r w:rsidR="005E0159" w:rsidRPr="003524A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524AC" w:rsidRPr="003524AC">
        <w:rPr>
          <w:rFonts w:ascii="Times New Roman" w:hAnsi="Times New Roman" w:cs="Times New Roman"/>
          <w:sz w:val="28"/>
          <w:szCs w:val="28"/>
          <w:lang w:val="kk-KZ"/>
        </w:rPr>
        <w:t>2021 жылы Мемлекеттік қызмет көрсету туралы шағымдар түскен жоқ.</w:t>
      </w:r>
    </w:p>
    <w:p w:rsidR="005E0159" w:rsidRPr="003524A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3524AC" w:rsidRPr="003524AC">
        <w:rPr>
          <w:lang w:val="kk-KZ"/>
        </w:rPr>
        <w:t xml:space="preserve"> </w:t>
      </w:r>
      <w:r w:rsidR="003524AC" w:rsidRPr="003524A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 көрсету сапасын ішкі бақылау нәтижелері.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524AC" w:rsidRPr="003524AC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көрсету мерзімдерін бұзу және негізсіз бас тарту анықталған жоқ.</w:t>
      </w:r>
    </w:p>
    <w:p w:rsidR="004F1356" w:rsidRPr="003524A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lastRenderedPageBreak/>
        <w:tab/>
        <w:t xml:space="preserve">3) </w:t>
      </w:r>
      <w:r w:rsidR="003524AC" w:rsidRPr="003524A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сапасына қоғамдық мониторинг нәтижелері.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3524AC" w:rsidRPr="003524A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Қоғамдық мониторинг нәтижелеріне сәйкес, 2021 жылы мемлекеттік қызмет көрсету сапасына мемлекеттік қызмет көрсету мерзімдерін бұзу анықталған жоқ. Мемлекеттік қызметтерді бұзушылықтарға жол бермеу бойынша шаралар қабылдануда.</w:t>
      </w:r>
    </w:p>
    <w:p w:rsidR="00C77EE8" w:rsidRPr="00A9284B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3524AC" w:rsidRPr="003524A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Мемлекеттік қызметтер көрсетудің одан әрі тиімділігінің перспективалары және сапасына көрсетілетін қызметті алушылардың қанағаттануын арттыру.</w:t>
      </w:r>
    </w:p>
    <w:p w:rsidR="004F1356" w:rsidRPr="003524AC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3524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 жылы «</w:t>
      </w:r>
      <w:r w:rsidR="003524AC" w:rsidRPr="003524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Ақмола облысы Білім басқармасының Сандықтау ауданы бойынша білім бөлімінің Красная поляна ауылы</w:t>
      </w:r>
      <w:r w:rsidR="003524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ның жалпы білім беретін мектебі» </w:t>
      </w:r>
      <w:r w:rsidR="003524AC" w:rsidRPr="003524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КММ физикалық және заңды тұлғаларды қолжетімді және сапалы мемлекеттік қызметтермен қамтамасыз ету бойынша жұмыс жалғастырылатын болады.</w:t>
      </w:r>
    </w:p>
    <w:p w:rsidR="008E2887" w:rsidRPr="00A1314C" w:rsidRDefault="003773B1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</w:t>
      </w:r>
      <w:r w:rsidR="003524AC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524AC">
        <w:rPr>
          <w:rFonts w:ascii="Times New Roman" w:hAnsi="Times New Roman" w:cs="Times New Roman"/>
          <w:b/>
          <w:sz w:val="28"/>
          <w:szCs w:val="28"/>
          <w:lang w:val="kk-KZ"/>
        </w:rPr>
        <w:t>оры</w:t>
      </w:r>
      <w:r w:rsidR="00A1314C" w:rsidRPr="00A131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352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A1314C" w:rsidRPr="00A1314C">
        <w:rPr>
          <w:rFonts w:ascii="Times New Roman" w:hAnsi="Times New Roman" w:cs="Times New Roman"/>
          <w:b/>
          <w:sz w:val="28"/>
          <w:szCs w:val="28"/>
          <w:lang w:val="kk-KZ"/>
        </w:rPr>
        <w:t>Я.Ибаева</w:t>
      </w:r>
    </w:p>
    <w:p w:rsidR="008E2887" w:rsidRPr="00A1314C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A1314C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A1314C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6D6D" w:rsidRPr="00A1314C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Pr="00A1314C" w:rsidRDefault="00834E28" w:rsidP="00A928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84B" w:rsidRDefault="00A9284B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84B" w:rsidRDefault="00A9284B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84B" w:rsidRPr="00A1314C" w:rsidRDefault="00A9284B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Pr="00A1314C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Pr="00A1314C" w:rsidRDefault="00146EE6" w:rsidP="00593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A1314C" w:rsidRDefault="003524AC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Орындаған: </w:t>
      </w:r>
      <w:r w:rsidR="00A1314C" w:rsidRPr="00A1314C">
        <w:rPr>
          <w:rFonts w:ascii="Times New Roman" w:hAnsi="Times New Roman" w:cs="Times New Roman"/>
          <w:i/>
          <w:sz w:val="20"/>
          <w:szCs w:val="20"/>
        </w:rPr>
        <w:t>А.Абаева</w:t>
      </w:r>
    </w:p>
    <w:p w:rsidR="00834E28" w:rsidRPr="00A1314C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314C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A1314C" w:rsidRPr="00A1314C">
        <w:rPr>
          <w:rFonts w:ascii="Times New Roman" w:hAnsi="Times New Roman" w:cs="Times New Roman"/>
          <w:i/>
          <w:sz w:val="20"/>
          <w:szCs w:val="20"/>
          <w:lang w:val="kk-KZ"/>
        </w:rPr>
        <w:t>: 871640</w:t>
      </w:r>
      <w:r w:rsidR="00A1314C" w:rsidRPr="00A1314C">
        <w:rPr>
          <w:rFonts w:ascii="Times New Roman" w:hAnsi="Times New Roman" w:cs="Times New Roman"/>
          <w:i/>
          <w:sz w:val="20"/>
          <w:szCs w:val="20"/>
        </w:rPr>
        <w:t>70724</w:t>
      </w:r>
    </w:p>
    <w:sectPr w:rsidR="00834E28" w:rsidRPr="00A1314C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CE" w:rsidRDefault="000720CE" w:rsidP="00C20CD6">
      <w:pPr>
        <w:spacing w:after="0" w:line="240" w:lineRule="auto"/>
      </w:pPr>
      <w:r>
        <w:separator/>
      </w:r>
    </w:p>
  </w:endnote>
  <w:endnote w:type="continuationSeparator" w:id="1">
    <w:p w:rsidR="000720CE" w:rsidRDefault="000720CE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CE" w:rsidRDefault="000720CE" w:rsidP="00C20CD6">
      <w:pPr>
        <w:spacing w:after="0" w:line="240" w:lineRule="auto"/>
      </w:pPr>
      <w:r>
        <w:separator/>
      </w:r>
    </w:p>
  </w:footnote>
  <w:footnote w:type="continuationSeparator" w:id="1">
    <w:p w:rsidR="000720CE" w:rsidRDefault="000720CE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20CE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E6885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C4749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31E9"/>
    <w:rsid w:val="00265D2F"/>
    <w:rsid w:val="0026743D"/>
    <w:rsid w:val="00273BD9"/>
    <w:rsid w:val="0028139D"/>
    <w:rsid w:val="00285146"/>
    <w:rsid w:val="0028678C"/>
    <w:rsid w:val="00287929"/>
    <w:rsid w:val="002A12FE"/>
    <w:rsid w:val="002A7212"/>
    <w:rsid w:val="002B24F7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11093"/>
    <w:rsid w:val="00320B3B"/>
    <w:rsid w:val="003355D8"/>
    <w:rsid w:val="00352140"/>
    <w:rsid w:val="003524AC"/>
    <w:rsid w:val="0037468D"/>
    <w:rsid w:val="003773B1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948CC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14427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3A08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195"/>
    <w:rsid w:val="006822E4"/>
    <w:rsid w:val="00683125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62E4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2A8B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35AC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314C"/>
    <w:rsid w:val="00A15457"/>
    <w:rsid w:val="00A2796A"/>
    <w:rsid w:val="00A27A86"/>
    <w:rsid w:val="00A30457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9284B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A5DAD"/>
    <w:rsid w:val="00BB61BE"/>
    <w:rsid w:val="00BC3DA7"/>
    <w:rsid w:val="00BC5D6F"/>
    <w:rsid w:val="00BC7FB7"/>
    <w:rsid w:val="00BD065D"/>
    <w:rsid w:val="00BD1CB7"/>
    <w:rsid w:val="00BE305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2418"/>
    <w:rsid w:val="00DF6006"/>
    <w:rsid w:val="00E1100F"/>
    <w:rsid w:val="00E2009E"/>
    <w:rsid w:val="00E21D32"/>
    <w:rsid w:val="00E3689C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0006.sandyktau.aqmoed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0C48-C264-4633-BD5B-91E19391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110</cp:revision>
  <cp:lastPrinted>2022-02-07T10:11:00Z</cp:lastPrinted>
  <dcterms:created xsi:type="dcterms:W3CDTF">2021-02-24T05:27:00Z</dcterms:created>
  <dcterms:modified xsi:type="dcterms:W3CDTF">2022-03-01T07:24:00Z</dcterms:modified>
</cp:coreProperties>
</file>